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0C1B33"/>
          <w:sz w:val="52"/>
        </w:rPr>
        <w:t>¡ODIO LOS EVENTOS DE NETWORKING!</w:t>
      </w:r>
    </w:p>
    <w:p>
      <w:pPr>
        <w:jc w:val="center"/>
      </w:pPr>
      <w:r>
        <w:rPr>
          <w:rFonts w:ascii="Arial" w:hAnsi="Arial"/>
          <w:b/>
          <w:color w:val="EF6C2C"/>
          <w:sz w:val="24"/>
        </w:rPr>
        <w:t>CUADERNO DE TRABAJO • Antes → Durante → Después</w:t>
      </w:r>
    </w:p>
    <w:p>
      <w:pPr>
        <w:jc w:val="center"/>
      </w:pPr>
      <w:r>
        <w:rPr>
          <w:rFonts w:ascii="Arial" w:hAnsi="Arial"/>
          <w:b/>
          <w:color w:val="667085"/>
          <w:sz w:val="20"/>
        </w:rPr>
        <w:t>EDICIÓN REVISADA 2026</w:t>
      </w:r>
    </w:p>
    <w:p>
      <w:pPr>
        <w:spacing w:after="120"/>
      </w:pPr>
      <w:r>
        <w:rPr>
          <w:rFonts w:ascii="Arial" w:hAnsi="Arial"/>
          <w:b w:val="0"/>
          <w:sz w:val="21"/>
        </w:rPr>
        <w:t>Compañero práctico del libro ¡Odio los Eventos de Networking! de David Wilson.</w:t>
      </w:r>
    </w:p>
    <w:p>
      <w:pPr>
        <w:spacing w:after="120"/>
      </w:pPr>
      <w:r>
        <w:rPr>
          <w:rFonts w:ascii="Arial" w:hAnsi="Arial"/>
          <w:b w:val="0"/>
          <w:sz w:val="21"/>
        </w:rPr>
        <w:t>© 2020-2026 David Wilson. Todos los derechos reservados. Publicado por Black Flier Media. Esta edición revisada moderniza enlaces, referencias a plataformas y la usabilidad del cuaderno sin cambiar la metodología central de IHNE.</w:t>
      </w:r>
    </w:p>
    <w:p>
      <w:pPr>
        <w:spacing w:before="200" w:after="100"/>
      </w:pPr>
      <w:r>
        <w:rPr>
          <w:rFonts w:ascii="Arial" w:hAnsi="Arial"/>
          <w:b/>
          <w:color w:val="0C1B33"/>
          <w:sz w:val="32"/>
        </w:rPr>
        <w:t>¿CÓMO USAR ESTE CUADERNO DE TRABAJO?</w:t>
      </w:r>
    </w:p>
    <w:p>
      <w:pPr>
        <w:spacing w:after="120"/>
      </w:pPr>
      <w:r>
        <w:rPr>
          <w:rFonts w:ascii="Arial" w:hAnsi="Arial"/>
          <w:b w:val="0"/>
          <w:sz w:val="21"/>
        </w:rPr>
        <w:t>Utiliza este cuaderno junto con el libro y como referencia viva de tu plan de networking. Empieza por tu propósito y tus metas medibles, prepárate antes de cada evento, usa los métodos durante el evento con intención y programa tiempo después para cumplir lo prometido.</w:t>
      </w:r>
    </w:p>
    <w:p>
      <w:pPr>
        <w:spacing w:after="120"/>
      </w:pPr>
      <w:r>
        <w:rPr>
          <w:rFonts w:ascii="Arial" w:hAnsi="Arial"/>
          <w:b w:val="0"/>
          <w:sz w:val="21"/>
        </w:rPr>
        <w:t>Sitio actual de IHNE: IHateNetworkingEvents.com. Allí se mantendrán el libro, recursos, conferencias, capacitación y descargas actualizadas. Los enlaces de compra vigentes deben abrirse desde el sitio de IHNE para evitar enlaces obsoletos dentro de este cuaderno.</w:t>
      </w:r>
    </w:p>
    <w:p>
      <w:pPr>
        <w:spacing w:after="120"/>
      </w:pPr>
      <w:r>
        <w:rPr>
          <w:rFonts w:ascii="Arial" w:hAnsi="Arial"/>
          <w:b w:val="0"/>
          <w:sz w:val="21"/>
        </w:rPr>
        <w:t>¿Quieres compartir una historia de éxito o preguntar sobre conferencias/capacitación? Usa el formulario Request Information en IHateNetworkingEvents.com.</w:t>
      </w:r>
    </w:p>
    <w:p>
      <w:r>
        <w:t>NOTA SOBRE LOS ACRÓNIMOS: IHNE mantiene una metodología canónica en todos los idiomas. Los acrónimos se localizan cuando es necesario para que las letras sigan ayudando a recordar el método. Por ejemplo, EPSM™ en inglés corresponde a REPS™ en español. SEC™ y CRAD™ son las formas autorizadas en español de sus conceptos equivalentes en inglés.</w:t>
      </w:r>
    </w:p>
    <w:p>
      <w:pPr>
        <w:pageBreakBefore/>
        <w:spacing w:before="200" w:after="100"/>
      </w:pPr>
      <w:r>
        <w:rPr>
          <w:rFonts w:ascii="Arial" w:hAnsi="Arial"/>
          <w:b/>
          <w:color w:val="0C1B33"/>
          <w:sz w:val="32"/>
        </w:rPr>
        <w:t>¿POR QUÉ ESTOY HACIENDO NETWORKING? — HOJA DE TRABAJO</w:t>
      </w:r>
    </w:p>
    <w:p>
      <w:pPr>
        <w:spacing w:after="120"/>
      </w:pPr>
      <w:r>
        <w:rPr>
          <w:rFonts w:ascii="Arial" w:hAnsi="Arial"/>
          <w:b w:val="0"/>
          <w:sz w:val="21"/>
        </w:rPr>
        <w:t>¿Cuáles son mis 3 razones principales para asistir a eventos de networking?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¿Qué resultados medibles deseo obtener? Asegúrate de que sean ESPECÍFICOS, MEDIBLES y CON PLAZO.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¿En qué área geográfica voy a enfocar mis esfuerzos? Asegúrate de que sea RAZONABLE y esté conectada con tus metas.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¿Qué organizaciones, asociaciones o comunidades quiero abordar? Asegúrate de tener tiempo y recursos para participar.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¿A cuántos eventos por mes necesito asistir para apoyar mis metas?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En mis propias palabras, ¿qué es una REPS™ (Reunión de Exploración de Posibles Sinergias) y cómo la personalizaré para mis metas?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before="200" w:after="100"/>
      </w:pPr>
      <w:r>
        <w:rPr>
          <w:rFonts w:ascii="Arial" w:hAnsi="Arial"/>
          <w:b/>
          <w:color w:val="0C1B33"/>
          <w:sz w:val="32"/>
        </w:rPr>
        <w:t>PLANIFICACIÓN PREVIA AL EVENTO — HOJA DE TRABAJO</w:t>
      </w:r>
    </w:p>
    <w:p>
      <w:pPr>
        <w:spacing w:after="120"/>
      </w:pPr>
      <w:r>
        <w:rPr>
          <w:rFonts w:ascii="Arial" w:hAnsi="Arial"/>
          <w:b w:val="0"/>
          <w:sz w:val="21"/>
        </w:rPr>
        <w:t>Usa una copia separada para cada evento.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Organización</w:t>
            </w:r>
          </w:p>
        </w:tc>
        <w:tc>
          <w:tcPr>
            <w:tcW w:type="dxa" w:w="5184"/>
          </w:tcPr>
          <w:p>
            <w:r>
              <w:t>Fecha</w:t>
            </w:r>
          </w:p>
        </w:tc>
      </w:tr>
      <w:tr>
        <w:tc>
          <w:tcPr>
            <w:tcW w:type="dxa" w:w="5184"/>
          </w:tcPr>
          <w:p>
            <w:r>
              <w:t>Hora</w:t>
            </w:r>
          </w:p>
        </w:tc>
        <w:tc>
          <w:tcPr>
            <w:tcW w:type="dxa" w:w="5184"/>
          </w:tcPr>
          <w:p>
            <w:r>
              <w:t>Código de vestimenta</w:t>
            </w:r>
          </w:p>
        </w:tc>
      </w:tr>
      <w:tr>
        <w:tc>
          <w:tcPr>
            <w:tcW w:type="dxa" w:w="5184"/>
          </w:tcPr>
          <w:p>
            <w:r>
              <w:t>Estacionamiento / transporte</w:t>
            </w:r>
          </w:p>
        </w:tc>
        <w:tc>
          <w:tcPr>
            <w:tcW w:type="dxa" w:w="5184"/>
          </w:tcPr>
          <w:p>
            <w:r>
              <w:t>Costo de registro</w:t>
            </w:r>
          </w:p>
        </w:tc>
      </w:tr>
      <w:tr>
        <w:tc>
          <w:tcPr>
            <w:tcW w:type="dxa" w:w="5184"/>
          </w:tcPr>
          <w:p>
            <w:r>
              <w:t>Otros apuntes</w:t>
            </w:r>
          </w:p>
        </w:tc>
        <w:tc>
          <w:tcPr>
            <w:tcW w:type="dxa" w:w="5184"/>
          </w:tcPr>
          <w:p>
            <w:r>
              <w:t>¿Tengo lista de miembros / asistentes?</w:t>
            </w:r>
          </w:p>
        </w:tc>
      </w:tr>
    </w:tbl>
    <w:p>
      <w:pPr>
        <w:spacing w:after="120"/>
      </w:pPr>
      <w:r>
        <w:rPr>
          <w:rFonts w:ascii="Arial" w:hAnsi="Arial"/>
          <w:b w:val="0"/>
          <w:sz w:val="21"/>
        </w:rPr>
        <w:t>¿A quién contactaré antes del evento? Incluye hasta cinco personas y el mejor método de contacto disponible.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Compañero/a de networking o de responsabilidad (si aplica):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before="200" w:after="100"/>
      </w:pPr>
      <w:r>
        <w:rPr>
          <w:rFonts w:ascii="Arial" w:hAnsi="Arial"/>
          <w:b/>
          <w:color w:val="0C1B33"/>
          <w:sz w:val="32"/>
        </w:rPr>
        <w:t>¿QUÉ VOY A DECIR? — HOJA DE TRABAJO</w:t>
      </w:r>
    </w:p>
    <w:p>
      <w:pPr>
        <w:spacing w:after="120"/>
      </w:pPr>
      <w:r>
        <w:rPr>
          <w:rFonts w:ascii="Arial" w:hAnsi="Arial"/>
          <w:b w:val="0"/>
          <w:sz w:val="21"/>
        </w:rPr>
        <w:t>¿Qué beneficios ofrezco a clientes, empleadores, socios o a las personas a quienes sirvo?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•  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¿Cuál es mi profesión / función?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¿Qué diré cuando alguien me pregunte qué hago? Escríbelo y practícalo varias veces.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before="200" w:after="100"/>
      </w:pPr>
      <w:r>
        <w:rPr>
          <w:rFonts w:ascii="Arial" w:hAnsi="Arial"/>
          <w:b/>
          <w:color w:val="0C1B33"/>
          <w:sz w:val="32"/>
        </w:rPr>
        <w:t>DURANTE EL EVENTO — SEIS PUNTOS FOCALES</w:t>
      </w:r>
    </w:p>
    <w:p>
      <w:r>
        <w:rPr>
          <w:rFonts w:ascii="Arial" w:hAnsi="Arial"/>
          <w:b/>
          <w:color w:val="EF6C2C"/>
          <w:sz w:val="22"/>
        </w:rPr>
        <w:t>Sé el Anfitrión</w:t>
      </w:r>
      <w:r>
        <w:rPr>
          <w:rFonts w:ascii="Arial" w:hAnsi="Arial"/>
          <w:b w:val="0"/>
          <w:sz w:val="21"/>
        </w:rPr>
        <w:t xml:space="preserve"> — Da la bienvenida, sonríe, preséntate y empieza a conectar desde el principio.</w:t>
      </w:r>
    </w:p>
    <w:p>
      <w:r>
        <w:rPr>
          <w:rFonts w:ascii="Arial" w:hAnsi="Arial"/>
          <w:b/>
          <w:color w:val="EF6C2C"/>
          <w:sz w:val="22"/>
        </w:rPr>
        <w:t>Ten un Compañero Consciente</w:t>
      </w:r>
      <w:r>
        <w:rPr>
          <w:rFonts w:ascii="Arial" w:hAnsi="Arial"/>
          <w:b w:val="0"/>
          <w:sz w:val="21"/>
        </w:rPr>
        <w:t xml:space="preserve"> — Mantente consciente de tu compañero sin pasar todo el evento con esa persona.</w:t>
      </w:r>
    </w:p>
    <w:p>
      <w:r>
        <w:rPr>
          <w:rFonts w:ascii="Arial" w:hAnsi="Arial"/>
          <w:b/>
          <w:color w:val="EF6C2C"/>
          <w:sz w:val="22"/>
        </w:rPr>
        <w:t>Escoge un Bolsillo</w:t>
      </w:r>
      <w:r>
        <w:rPr>
          <w:rFonts w:ascii="Arial" w:hAnsi="Arial"/>
          <w:b w:val="0"/>
          <w:sz w:val="21"/>
        </w:rPr>
        <w:t xml:space="preserve"> — Usa un sistema físico o digital sencillo para organizar la información y el seguimiento.</w:t>
      </w:r>
    </w:p>
    <w:p>
      <w:r>
        <w:rPr>
          <w:rFonts w:ascii="Arial" w:hAnsi="Arial"/>
          <w:b/>
          <w:color w:val="EF6C2C"/>
          <w:sz w:val="22"/>
        </w:rPr>
        <w:t>Usa el Método SEC™</w:t>
      </w:r>
      <w:r>
        <w:rPr>
          <w:rFonts w:ascii="Arial" w:hAnsi="Arial"/>
          <w:b w:val="0"/>
          <w:sz w:val="21"/>
        </w:rPr>
        <w:t xml:space="preserve"> — Sonríe. Escucha. Conecta.</w:t>
      </w:r>
    </w:p>
    <w:p>
      <w:r>
        <w:rPr>
          <w:rFonts w:ascii="Arial" w:hAnsi="Arial"/>
          <w:b/>
          <w:color w:val="EF6C2C"/>
          <w:sz w:val="22"/>
        </w:rPr>
        <w:t>Recuerda tu Lista</w:t>
      </w:r>
      <w:r>
        <w:rPr>
          <w:rFonts w:ascii="Arial" w:hAnsi="Arial"/>
          <w:b w:val="0"/>
          <w:sz w:val="21"/>
        </w:rPr>
        <w:t xml:space="preserve"> — No olvides a las personas que identificaste antes del evento.</w:t>
      </w:r>
    </w:p>
    <w:p>
      <w:r>
        <w:rPr>
          <w:rFonts w:ascii="Arial" w:hAnsi="Arial"/>
          <w:b/>
          <w:color w:val="EF6C2C"/>
          <w:sz w:val="22"/>
        </w:rPr>
        <w:t>Cierra el Trato Correcto</w:t>
      </w:r>
      <w:r>
        <w:rPr>
          <w:rFonts w:ascii="Arial" w:hAnsi="Arial"/>
          <w:b w:val="0"/>
          <w:sz w:val="21"/>
        </w:rPr>
        <w:t xml:space="preserve"> — Cierra para un referido, una conexión útil o permiso para una REPS™; no para una venta inmediata.</w:t>
      </w:r>
    </w:p>
    <w:p>
      <w:pPr>
        <w:spacing w:before="200" w:after="100"/>
      </w:pPr>
      <w:r>
        <w:rPr>
          <w:rFonts w:ascii="Arial" w:hAnsi="Arial"/>
          <w:b/>
          <w:color w:val="0C1B33"/>
          <w:sz w:val="32"/>
        </w:rPr>
        <w:t>SEC™ — HOJA DE TRABAJO</w:t>
      </w:r>
    </w:p>
    <w:p>
      <w:pPr>
        <w:spacing w:after="120"/>
      </w:pPr>
      <w:r>
        <w:rPr>
          <w:rFonts w:ascii="Arial" w:hAnsi="Arial"/>
          <w:b w:val="0"/>
          <w:sz w:val="21"/>
        </w:rPr>
        <w:t>S = Sonríe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E = Escucha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C = Conecta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¿Qué otras preguntas abiertas puedo hacer mientras escucho?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¿Qué conexiones, referidos o REPS™ podría proponer cuando sea apropiado?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before="200" w:after="100"/>
      </w:pPr>
      <w:r>
        <w:rPr>
          <w:rFonts w:ascii="Arial" w:hAnsi="Arial"/>
          <w:b/>
          <w:color w:val="0C1B33"/>
          <w:sz w:val="32"/>
        </w:rPr>
        <w:t>CRAD™ — HOJA DE TRABAJO</w:t>
      </w:r>
    </w:p>
    <w:p>
      <w:pPr>
        <w:spacing w:after="120"/>
      </w:pPr>
      <w:r>
        <w:rPr>
          <w:rFonts w:ascii="Arial" w:hAnsi="Arial"/>
          <w:b w:val="0"/>
          <w:sz w:val="21"/>
        </w:rPr>
        <w:t>C = Cumple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R = Registra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A = Asigna tiempos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D = Da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¿Qué promesas debo cumplir después del evento?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¿Dónde registraré la información y las actividades de mis conexiones?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¿Cuándo asignaré tiempo en mi calendario para cumplir lo prometido?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 w:val="0"/>
          <w:sz w:val="21"/>
        </w:rPr>
        <w:t>¿Cómo seguiré dando valor sin esperar algo a cambio?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98A2B3"/>
          <w:sz w:val="18"/>
        </w:rPr>
        <w:t>________________________________________________________________________________</w:t>
      </w:r>
    </w:p>
    <w:p>
      <w:pPr>
        <w:spacing w:before="200" w:after="100"/>
      </w:pPr>
      <w:r>
        <w:rPr>
          <w:rFonts w:ascii="Arial" w:hAnsi="Arial"/>
          <w:b/>
          <w:color w:val="0C1B33"/>
          <w:sz w:val="32"/>
        </w:rPr>
        <w:t>NOTA DE PRÁCTICA DIGITAL 2026</w:t>
      </w:r>
    </w:p>
    <w:p>
      <w:pPr>
        <w:spacing w:after="120"/>
      </w:pPr>
      <w:r>
        <w:rPr>
          <w:rFonts w:ascii="Arial" w:hAnsi="Arial"/>
          <w:b w:val="0"/>
          <w:sz w:val="21"/>
        </w:rPr>
        <w:t>Las tarjetas de presentación son opcionales; el principio no lo es. Registra la conexión en un sistema confiable, anota lo que prometiste y programa la próxima acción. Puedes usar un CRM, gestor de contactos, calendario u otro sistema que realmente mantengas.</w:t>
      </w:r>
    </w:p>
    <w:p>
      <w:pPr>
        <w:spacing w:after="120"/>
      </w:pPr>
      <w:r>
        <w:rPr>
          <w:rFonts w:ascii="Arial" w:hAnsi="Arial"/>
          <w:b w:val="0"/>
          <w:sz w:val="21"/>
        </w:rPr>
        <w:t>El IHNE Field Kit gratuito es una herramienta más ligera para usar evento por evento. Este Cuaderno de Trabajo es el compañero más profundo del libro.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667085"/>
        <w:sz w:val="16"/>
      </w:rPr>
      <w:t>I Hate Networking Events! • David Wilson • IHateNetworkingEvents.com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